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639B" w14:textId="173AEDE3" w:rsidR="007C06DE" w:rsidRPr="007C06DE" w:rsidRDefault="007C06DE" w:rsidP="007C06DE">
      <w:pPr>
        <w:pStyle w:val="Kop1"/>
      </w:pPr>
      <w:r w:rsidRPr="007C06DE">
        <w:t>Retourlogistiek via de Green Gear Alliance</w:t>
      </w:r>
    </w:p>
    <w:p w14:paraId="309BFFD6" w14:textId="0AE4D276" w:rsidR="007C06DE" w:rsidRPr="007C06DE" w:rsidRDefault="00780A10" w:rsidP="007C06DE">
      <w:pPr>
        <w:rPr>
          <w:i/>
          <w:iCs/>
        </w:rPr>
      </w:pPr>
      <w:r>
        <w:rPr>
          <w:i/>
          <w:iCs/>
        </w:rPr>
        <w:t>Tendertekst d</w:t>
      </w:r>
      <w:r w:rsidR="007C06DE" w:rsidRPr="007C06DE">
        <w:rPr>
          <w:i/>
          <w:iCs/>
        </w:rPr>
        <w:t>istributeur</w:t>
      </w:r>
      <w:r>
        <w:rPr>
          <w:i/>
          <w:iCs/>
        </w:rPr>
        <w:t xml:space="preserve"> </w:t>
      </w:r>
      <w:r w:rsidR="007C06DE" w:rsidRPr="007C06DE">
        <w:rPr>
          <w:i/>
          <w:iCs/>
        </w:rPr>
        <w:t xml:space="preserve">richting </w:t>
      </w:r>
      <w:r>
        <w:rPr>
          <w:i/>
          <w:iCs/>
        </w:rPr>
        <w:t>e</w:t>
      </w:r>
      <w:r w:rsidR="007C06DE" w:rsidRPr="007C06DE">
        <w:rPr>
          <w:i/>
          <w:iCs/>
        </w:rPr>
        <w:t>indgebruiker</w:t>
      </w:r>
      <w:r>
        <w:rPr>
          <w:i/>
          <w:iCs/>
        </w:rPr>
        <w:t xml:space="preserve">, opgesteld </w:t>
      </w:r>
      <w:r w:rsidR="0040369A">
        <w:rPr>
          <w:i/>
          <w:iCs/>
        </w:rPr>
        <w:t>februari</w:t>
      </w:r>
      <w:r>
        <w:rPr>
          <w:i/>
          <w:iCs/>
        </w:rPr>
        <w:t xml:space="preserve"> 2026</w:t>
      </w:r>
    </w:p>
    <w:p w14:paraId="62B55051" w14:textId="77777777" w:rsidR="007C06DE" w:rsidRDefault="007C06DE" w:rsidP="007C06DE"/>
    <w:p w14:paraId="3174F31F" w14:textId="77777777" w:rsidR="00D84CE5" w:rsidRDefault="00D84CE5" w:rsidP="007C06DE">
      <w:pPr>
        <w:sectPr w:rsidR="00D84CE5">
          <w:headerReference w:type="default" r:id="rId10"/>
          <w:footerReference w:type="default" r:id="rId11"/>
          <w:pgSz w:w="11906" w:h="16838"/>
          <w:pgMar w:top="1417" w:right="1417" w:bottom="1417" w:left="1417" w:header="708" w:footer="708" w:gutter="0"/>
          <w:cols w:space="708"/>
          <w:docGrid w:linePitch="360"/>
        </w:sectPr>
      </w:pPr>
    </w:p>
    <w:p w14:paraId="6B9EBB8C" w14:textId="77777777" w:rsidR="007C06DE" w:rsidRDefault="007C06DE" w:rsidP="007C06DE">
      <w:r w:rsidRPr="007C06DE">
        <w:t xml:space="preserve">De </w:t>
      </w:r>
      <w:r w:rsidRPr="007C06DE">
        <w:rPr>
          <w:b/>
          <w:bCs/>
        </w:rPr>
        <w:t>Green Gear Alliance (GGA)</w:t>
      </w:r>
      <w:r w:rsidRPr="007C06DE">
        <w:t xml:space="preserve"> is een non</w:t>
      </w:r>
      <w:r w:rsidRPr="007C06DE">
        <w:noBreakHyphen/>
        <w:t xml:space="preserve">profit branche-initiatief dat organisaties volledig ontzorgt in de </w:t>
      </w:r>
      <w:r w:rsidRPr="007C06DE">
        <w:rPr>
          <w:b/>
          <w:bCs/>
        </w:rPr>
        <w:t>inzameling, retourlogistiek, sortering en verwerking</w:t>
      </w:r>
      <w:r w:rsidRPr="007C06DE">
        <w:t xml:space="preserve"> van werkkleding, werkschoenen en overige persoonlijke beschermingsmiddelen (PBM). De GGA is actief in de Benelux en biedt een bewezen, schaalbare en circulaire oplossing voor het verantwoord verwerken van gebruikte PBM</w:t>
      </w:r>
      <w:r>
        <w:t>.</w:t>
      </w:r>
    </w:p>
    <w:p w14:paraId="6BB27601" w14:textId="700E31F0" w:rsidR="007C06DE" w:rsidRPr="007C06DE" w:rsidRDefault="007C06DE" w:rsidP="007C06DE">
      <w:r w:rsidRPr="007C06DE">
        <w:t xml:space="preserve"> </w:t>
      </w:r>
    </w:p>
    <w:p w14:paraId="3865E638" w14:textId="77777777" w:rsidR="007C06DE" w:rsidRPr="007C06DE" w:rsidRDefault="007C06DE" w:rsidP="00B45EF3">
      <w:pPr>
        <w:pStyle w:val="Kop2"/>
      </w:pPr>
      <w:r w:rsidRPr="007C06DE">
        <w:t>1. Doelstelling &amp; Positionering</w:t>
      </w:r>
    </w:p>
    <w:p w14:paraId="0308B249" w14:textId="77777777" w:rsidR="000A547F" w:rsidRDefault="007C06DE" w:rsidP="007C06DE">
      <w:r w:rsidRPr="007C06DE">
        <w:t>Als ketensamenwerking zonder winstoogmerk werkt de GGA samen met producenten, distributeurs en eindgebruikers om PBM</w:t>
      </w:r>
      <w:r w:rsidRPr="007C06DE">
        <w:noBreakHyphen/>
        <w:t xml:space="preserve">stromen circulair te maken. De GGA biedt een </w:t>
      </w:r>
      <w:r w:rsidRPr="007C06DE">
        <w:rPr>
          <w:b/>
          <w:bCs/>
        </w:rPr>
        <w:t>praktische en kostenefficiënte retouroplossing</w:t>
      </w:r>
      <w:r w:rsidRPr="007C06DE">
        <w:t xml:space="preserve">, ondersteunt leveranciers bij </w:t>
      </w:r>
      <w:r w:rsidR="000A547F">
        <w:t>het uitvoeren van duurzame inzameling en verwerking</w:t>
      </w:r>
      <w:r w:rsidRPr="007C06DE">
        <w:t xml:space="preserve"> en helpt eindgebruikers te voldoen aan duurzaamheidsdoelen en toekomstige wet- en regelgeving.</w:t>
      </w:r>
    </w:p>
    <w:p w14:paraId="383DD4E0" w14:textId="5012F9DF" w:rsidR="007C06DE" w:rsidRPr="007C06DE" w:rsidRDefault="000A547F" w:rsidP="007C06DE">
      <w:r w:rsidRPr="007C06DE">
        <w:t xml:space="preserve"> </w:t>
      </w:r>
    </w:p>
    <w:p w14:paraId="371C69BF" w14:textId="77777777" w:rsidR="007C06DE" w:rsidRPr="007C06DE" w:rsidRDefault="007C06DE" w:rsidP="00B45EF3">
      <w:pPr>
        <w:pStyle w:val="Kop2"/>
      </w:pPr>
      <w:r w:rsidRPr="007C06DE">
        <w:t xml:space="preserve">2. Volledige </w:t>
      </w:r>
      <w:proofErr w:type="spellStart"/>
      <w:r w:rsidRPr="007C06DE">
        <w:t>Ontzorging</w:t>
      </w:r>
      <w:proofErr w:type="spellEnd"/>
      <w:r w:rsidRPr="007C06DE">
        <w:t xml:space="preserve"> in Retourlogistiek</w:t>
      </w:r>
    </w:p>
    <w:p w14:paraId="58118C18" w14:textId="10D6D857" w:rsidR="007C06DE" w:rsidRPr="007C06DE" w:rsidRDefault="007C06DE" w:rsidP="007C06DE">
      <w:r w:rsidRPr="007C06DE">
        <w:t xml:space="preserve">De </w:t>
      </w:r>
      <w:proofErr w:type="spellStart"/>
      <w:r w:rsidRPr="007C06DE">
        <w:t>retourlogistieke</w:t>
      </w:r>
      <w:proofErr w:type="spellEnd"/>
      <w:r w:rsidRPr="007C06DE">
        <w:t xml:space="preserve"> dienstverlening omvat vier stappen</w:t>
      </w:r>
      <w:r w:rsidR="00B45EF3">
        <w:t xml:space="preserve">. Het </w:t>
      </w:r>
      <w:proofErr w:type="gramStart"/>
      <w:r w:rsidR="00B45EF3">
        <w:t>GGA dashboard</w:t>
      </w:r>
      <w:proofErr w:type="gramEnd"/>
      <w:r w:rsidR="00B45EF3">
        <w:t xml:space="preserve"> functioneert als cockpit voor de dealer of eindgebruiker voor het uitvoeren van deze stappen.</w:t>
      </w:r>
    </w:p>
    <w:p w14:paraId="3A771E5D" w14:textId="6181F90D" w:rsidR="001315F4" w:rsidRDefault="007C06DE" w:rsidP="007C06DE">
      <w:r w:rsidRPr="007C06DE">
        <w:rPr>
          <w:b/>
          <w:bCs/>
        </w:rPr>
        <w:t>1. Inzamel</w:t>
      </w:r>
      <w:r w:rsidR="004445FD">
        <w:rPr>
          <w:b/>
          <w:bCs/>
        </w:rPr>
        <w:t>middelen bestellen</w:t>
      </w:r>
      <w:r w:rsidR="00EE08D3">
        <w:rPr>
          <w:b/>
          <w:bCs/>
        </w:rPr>
        <w:t xml:space="preserve">- </w:t>
      </w:r>
      <w:r w:rsidRPr="007C06DE">
        <w:t xml:space="preserve">Eindgebruikers kunnen kiezen uit diverse bewezen inzamelmiddelen, zoals </w:t>
      </w:r>
      <w:r w:rsidRPr="007C06DE">
        <w:rPr>
          <w:b/>
          <w:bCs/>
        </w:rPr>
        <w:t>Display Box</w:t>
      </w:r>
      <w:r w:rsidRPr="007C06DE">
        <w:t xml:space="preserve">, </w:t>
      </w:r>
      <w:proofErr w:type="spellStart"/>
      <w:r w:rsidRPr="007C06DE">
        <w:rPr>
          <w:b/>
          <w:bCs/>
        </w:rPr>
        <w:t>MiniBag</w:t>
      </w:r>
      <w:proofErr w:type="spellEnd"/>
      <w:r w:rsidRPr="007C06DE">
        <w:t xml:space="preserve"> en </w:t>
      </w:r>
      <w:proofErr w:type="spellStart"/>
      <w:r w:rsidRPr="007C06DE">
        <w:rPr>
          <w:b/>
          <w:bCs/>
        </w:rPr>
        <w:t>BigBag</w:t>
      </w:r>
      <w:proofErr w:type="spellEnd"/>
      <w:r w:rsidR="001315F4">
        <w:rPr>
          <w:b/>
          <w:bCs/>
        </w:rPr>
        <w:t xml:space="preserve">, </w:t>
      </w:r>
      <w:r w:rsidR="001315F4" w:rsidRPr="001315F4">
        <w:t>geschikt voor uiteenlopende volumes en locaties</w:t>
      </w:r>
      <w:r w:rsidRPr="007C06DE">
        <w:t>.</w:t>
      </w:r>
      <w:r w:rsidR="00260622">
        <w:t xml:space="preserve"> De prijs van de </w:t>
      </w:r>
      <w:proofErr w:type="gramStart"/>
      <w:r w:rsidR="00260622">
        <w:t>GGA inzamelmiddelen</w:t>
      </w:r>
      <w:proofErr w:type="gramEnd"/>
      <w:r w:rsidR="00260622">
        <w:t xml:space="preserve"> is één </w:t>
      </w:r>
      <w:r w:rsidR="0045182D">
        <w:t>totaal</w:t>
      </w:r>
      <w:r w:rsidR="00260622">
        <w:t xml:space="preserve">prijs waar de levering, </w:t>
      </w:r>
      <w:proofErr w:type="spellStart"/>
      <w:r w:rsidR="00260622">
        <w:t>pickup</w:t>
      </w:r>
      <w:proofErr w:type="spellEnd"/>
      <w:r w:rsidR="00260622">
        <w:t>, verwerking en rapportage bij in zit.</w:t>
      </w:r>
      <w:r w:rsidR="0045182D">
        <w:t xml:space="preserve"> </w:t>
      </w:r>
      <w:proofErr w:type="gramStart"/>
      <w:r w:rsidR="005623A9">
        <w:t>GGA</w:t>
      </w:r>
      <w:r w:rsidRPr="007C06DE">
        <w:t xml:space="preserve"> inzamelmiddelen</w:t>
      </w:r>
      <w:proofErr w:type="gramEnd"/>
      <w:r w:rsidRPr="007C06DE">
        <w:t xml:space="preserve"> worden geleverd met duidelijke instructies en zijn afgestemd op efficiënte interne logistiek.</w:t>
      </w:r>
    </w:p>
    <w:p w14:paraId="6E3080DF" w14:textId="45121187" w:rsidR="007C06DE" w:rsidRDefault="0045182D" w:rsidP="007C06DE">
      <w:r>
        <w:t>Daarnaast hebben gebruikers de mogelijkheid om hun eigen inzamel</w:t>
      </w:r>
      <w:r w:rsidR="001315F4">
        <w:t xml:space="preserve">middelen te gebruiken en zelfs hun eigen transport. Hiervoor hanteren we een </w:t>
      </w:r>
      <w:proofErr w:type="spellStart"/>
      <w:r w:rsidR="001315F4">
        <w:t>kilo-prijs</w:t>
      </w:r>
      <w:proofErr w:type="spellEnd"/>
      <w:r w:rsidR="001315F4">
        <w:t xml:space="preserve"> die we achteraf factureren op basis van het aantal ingezamelde kilo’s.</w:t>
      </w:r>
    </w:p>
    <w:p w14:paraId="6FAB8074" w14:textId="40AEA437" w:rsidR="004445FD" w:rsidRPr="004445FD" w:rsidRDefault="004445FD" w:rsidP="007C06DE">
      <w:r>
        <w:rPr>
          <w:b/>
          <w:bCs/>
        </w:rPr>
        <w:t>2. Inzamelen-</w:t>
      </w:r>
      <w:r>
        <w:t xml:space="preserve"> Inzameling gebeurt vrijwel altijd op locatie bij de eindgebruiker. Hoe meer volume op één locatie gebundeld kan worden, hoe gunstiger het transport wordt.</w:t>
      </w:r>
    </w:p>
    <w:p w14:paraId="2D943AE7" w14:textId="269962B0" w:rsidR="007C06DE" w:rsidRPr="007C06DE" w:rsidRDefault="004445FD" w:rsidP="007C06DE">
      <w:r>
        <w:rPr>
          <w:b/>
          <w:bCs/>
        </w:rPr>
        <w:t>3</w:t>
      </w:r>
      <w:r w:rsidR="007C06DE" w:rsidRPr="007C06DE">
        <w:rPr>
          <w:b/>
          <w:bCs/>
        </w:rPr>
        <w:t>. Retour zenden</w:t>
      </w:r>
      <w:r w:rsidR="00EE08D3">
        <w:rPr>
          <w:b/>
          <w:bCs/>
        </w:rPr>
        <w:t xml:space="preserve">- </w:t>
      </w:r>
      <w:r w:rsidR="00B45EF3">
        <w:t>Gebruikers melden volle inzamelmiddelen aan via het dashboard op de website. DHL verzorgt het transport, vrijwel altijd de volgende werkdag.</w:t>
      </w:r>
    </w:p>
    <w:p w14:paraId="7A073C1B" w14:textId="52A9DB41" w:rsidR="00041A8D" w:rsidRDefault="004445FD" w:rsidP="00041A8D">
      <w:r>
        <w:rPr>
          <w:b/>
          <w:bCs/>
        </w:rPr>
        <w:t>4</w:t>
      </w:r>
      <w:r w:rsidR="007C06DE" w:rsidRPr="007C06DE">
        <w:rPr>
          <w:b/>
          <w:bCs/>
        </w:rPr>
        <w:t xml:space="preserve">. </w:t>
      </w:r>
      <w:r w:rsidR="00041A8D">
        <w:rPr>
          <w:b/>
          <w:bCs/>
        </w:rPr>
        <w:t xml:space="preserve">Rapportage bekijken- </w:t>
      </w:r>
      <w:r w:rsidR="00041A8D" w:rsidRPr="007C06DE">
        <w:t xml:space="preserve">Materialen krijgen een circulaire toepassing waar mogelijk </w:t>
      </w:r>
      <w:r w:rsidR="00041A8D">
        <w:t>-</w:t>
      </w:r>
      <w:r w:rsidR="00041A8D" w:rsidRPr="007C06DE">
        <w:t xml:space="preserve"> van hergebruik tot hoogwaardige </w:t>
      </w:r>
      <w:proofErr w:type="spellStart"/>
      <w:r w:rsidR="00041A8D">
        <w:t>vervezeling</w:t>
      </w:r>
      <w:proofErr w:type="spellEnd"/>
      <w:r w:rsidR="00041A8D" w:rsidRPr="007C06DE">
        <w:t>. Voor sommige PBM</w:t>
      </w:r>
      <w:r w:rsidR="00041A8D" w:rsidRPr="007C06DE">
        <w:noBreakHyphen/>
        <w:t>soorten zijn gespecialiseerde verwerkingspartners beschikbaar, bijvoorbeeld voor veiligheidsschoenen.</w:t>
      </w:r>
      <w:r w:rsidR="00041A8D">
        <w:t xml:space="preserve"> Dealers en eindgebruikers kunnen hun impact rapportage hiervan inzien.</w:t>
      </w:r>
    </w:p>
    <w:p w14:paraId="01920D41" w14:textId="77777777" w:rsidR="00041A8D" w:rsidRDefault="00041A8D" w:rsidP="00041A8D"/>
    <w:p w14:paraId="2AA48916" w14:textId="286EDF9E" w:rsidR="007C06DE" w:rsidRPr="00041A8D" w:rsidRDefault="00041A8D" w:rsidP="00041A8D">
      <w:pPr>
        <w:pStyle w:val="Kop2"/>
      </w:pPr>
      <w:r>
        <w:t>3. Circulariteit</w:t>
      </w:r>
      <w:r>
        <w:rPr>
          <w:b/>
          <w:bCs/>
        </w:rPr>
        <w:t xml:space="preserve"> </w:t>
      </w:r>
    </w:p>
    <w:p w14:paraId="78B3EE26" w14:textId="77777777" w:rsidR="00041A8D" w:rsidRDefault="007C06DE" w:rsidP="00041A8D">
      <w:r w:rsidRPr="007C06DE">
        <w:t xml:space="preserve">De GGA werkt samen met professionele sorteerders. Hierbij wordt gegarandeerd dat </w:t>
      </w:r>
      <w:r w:rsidRPr="007C06DE">
        <w:rPr>
          <w:b/>
          <w:bCs/>
        </w:rPr>
        <w:t>bedrukt</w:t>
      </w:r>
      <w:r w:rsidR="00B45EF3">
        <w:rPr>
          <w:b/>
          <w:bCs/>
        </w:rPr>
        <w:t>e</w:t>
      </w:r>
      <w:r w:rsidRPr="007C06DE">
        <w:rPr>
          <w:b/>
          <w:bCs/>
        </w:rPr>
        <w:t xml:space="preserve"> of gelabeld</w:t>
      </w:r>
      <w:r w:rsidR="00B45EF3">
        <w:rPr>
          <w:b/>
          <w:bCs/>
        </w:rPr>
        <w:t>e producten</w:t>
      </w:r>
      <w:r w:rsidRPr="007C06DE">
        <w:rPr>
          <w:b/>
          <w:bCs/>
        </w:rPr>
        <w:t xml:space="preserve"> nooit word</w:t>
      </w:r>
      <w:r w:rsidR="00B45EF3">
        <w:rPr>
          <w:b/>
          <w:bCs/>
        </w:rPr>
        <w:t>en</w:t>
      </w:r>
      <w:r w:rsidRPr="007C06DE">
        <w:rPr>
          <w:b/>
          <w:bCs/>
        </w:rPr>
        <w:t xml:space="preserve"> hergebruikt</w:t>
      </w:r>
      <w:r w:rsidRPr="007C06DE">
        <w:t>, maar uitsluitend een veilige toepassing krijgt zoals</w:t>
      </w:r>
      <w:r w:rsidR="00B45EF3">
        <w:t xml:space="preserve"> </w:t>
      </w:r>
      <w:proofErr w:type="spellStart"/>
      <w:r w:rsidR="00B45EF3">
        <w:t>vervezeling</w:t>
      </w:r>
      <w:proofErr w:type="spellEnd"/>
      <w:r w:rsidRPr="007C06DE">
        <w:t xml:space="preserve"> of inzet als poetslappen. Materialen krijgen een circulaire toepassing waar mogelijk </w:t>
      </w:r>
      <w:r w:rsidR="00B45EF3">
        <w:t>-</w:t>
      </w:r>
      <w:r w:rsidRPr="007C06DE">
        <w:t xml:space="preserve"> van hergebruik tot hoogwaardige </w:t>
      </w:r>
      <w:r w:rsidR="00B45EF3">
        <w:t>vervezeling</w:t>
      </w:r>
      <w:r w:rsidRPr="007C06DE">
        <w:t>.</w:t>
      </w:r>
    </w:p>
    <w:p w14:paraId="65BB40FC" w14:textId="77777777" w:rsidR="00041A8D" w:rsidRDefault="00041A8D" w:rsidP="00041A8D"/>
    <w:p w14:paraId="383FCF27" w14:textId="77777777" w:rsidR="009559A5" w:rsidRDefault="009559A5" w:rsidP="00041A8D"/>
    <w:p w14:paraId="6681AF17" w14:textId="77777777" w:rsidR="009559A5" w:rsidRDefault="009559A5" w:rsidP="00041A8D"/>
    <w:p w14:paraId="31AE41D6" w14:textId="29C42B3B" w:rsidR="007C06DE" w:rsidRPr="007C06DE" w:rsidRDefault="007C06DE" w:rsidP="00041A8D">
      <w:pPr>
        <w:pStyle w:val="Kop2"/>
      </w:pPr>
      <w:r w:rsidRPr="007C06DE">
        <w:lastRenderedPageBreak/>
        <w:t>3. Transparantie &amp; Impactrapportage</w:t>
      </w:r>
    </w:p>
    <w:p w14:paraId="05207B53" w14:textId="77777777" w:rsidR="007C06DE" w:rsidRPr="007C06DE" w:rsidRDefault="007C06DE" w:rsidP="007C06DE">
      <w:r w:rsidRPr="007C06DE">
        <w:t>Elke zending wordt geregistreerd in het GGA</w:t>
      </w:r>
      <w:r w:rsidRPr="007C06DE">
        <w:noBreakHyphen/>
        <w:t>dashboard. Eindgebruikers ontvangen:</w:t>
      </w:r>
    </w:p>
    <w:p w14:paraId="4A27C4B1" w14:textId="5E13774A" w:rsidR="007C06DE" w:rsidRPr="007C06DE" w:rsidRDefault="007C06DE" w:rsidP="00041A8D">
      <w:pPr>
        <w:pStyle w:val="Lijstalinea"/>
        <w:numPr>
          <w:ilvl w:val="0"/>
          <w:numId w:val="22"/>
        </w:numPr>
      </w:pPr>
      <w:proofErr w:type="gramStart"/>
      <w:r w:rsidRPr="00041A8D">
        <w:rPr>
          <w:b/>
          <w:bCs/>
        </w:rPr>
        <w:t>impactrapportages</w:t>
      </w:r>
      <w:proofErr w:type="gramEnd"/>
      <w:r w:rsidRPr="00041A8D">
        <w:rPr>
          <w:b/>
          <w:bCs/>
        </w:rPr>
        <w:t xml:space="preserve"> per zending</w:t>
      </w:r>
    </w:p>
    <w:p w14:paraId="72B19436" w14:textId="063D8C5D" w:rsidR="007C06DE" w:rsidRPr="007C06DE" w:rsidRDefault="00041A8D" w:rsidP="00041A8D">
      <w:pPr>
        <w:pStyle w:val="Lijstalinea"/>
        <w:numPr>
          <w:ilvl w:val="0"/>
          <w:numId w:val="22"/>
        </w:numPr>
      </w:pPr>
      <w:proofErr w:type="gramStart"/>
      <w:r>
        <w:rPr>
          <w:b/>
          <w:bCs/>
        </w:rPr>
        <w:t>een</w:t>
      </w:r>
      <w:proofErr w:type="gramEnd"/>
      <w:r>
        <w:rPr>
          <w:b/>
          <w:bCs/>
        </w:rPr>
        <w:t xml:space="preserve"> </w:t>
      </w:r>
      <w:proofErr w:type="gramStart"/>
      <w:r>
        <w:rPr>
          <w:b/>
          <w:bCs/>
        </w:rPr>
        <w:t>totaal overzicht</w:t>
      </w:r>
      <w:proofErr w:type="gramEnd"/>
    </w:p>
    <w:p w14:paraId="218FDA9F" w14:textId="4BD68A77" w:rsidR="007C06DE" w:rsidRDefault="007C06DE" w:rsidP="007C06DE">
      <w:r w:rsidRPr="007C06DE">
        <w:t>Deze rapportages ondersteunen MVO</w:t>
      </w:r>
      <w:r w:rsidRPr="007C06DE">
        <w:noBreakHyphen/>
        <w:t>beleid</w:t>
      </w:r>
      <w:r w:rsidR="00B45EF3">
        <w:t xml:space="preserve"> en</w:t>
      </w:r>
      <w:r w:rsidRPr="007C06DE">
        <w:t xml:space="preserve"> ESG</w:t>
      </w:r>
      <w:r w:rsidRPr="007C06DE">
        <w:noBreakHyphen/>
      </w:r>
      <w:r w:rsidR="00B45EF3">
        <w:t>rapportages.</w:t>
      </w:r>
    </w:p>
    <w:p w14:paraId="6BDC0AAB" w14:textId="77777777" w:rsidR="00B45EF3" w:rsidRPr="007C06DE" w:rsidRDefault="00B45EF3" w:rsidP="007C06DE"/>
    <w:p w14:paraId="26C2DB1B" w14:textId="77777777" w:rsidR="007C06DE" w:rsidRPr="007C06DE" w:rsidRDefault="007C06DE" w:rsidP="00B45EF3">
      <w:pPr>
        <w:pStyle w:val="Kop2"/>
      </w:pPr>
      <w:r w:rsidRPr="007C06DE">
        <w:t>4. Voordelen voor Eindgebruikers</w:t>
      </w:r>
    </w:p>
    <w:p w14:paraId="1C5C7061" w14:textId="77777777" w:rsidR="007C06DE" w:rsidRPr="007C06DE" w:rsidRDefault="007C06DE" w:rsidP="007C06DE">
      <w:r w:rsidRPr="007C06DE">
        <w:t>Voor eindgebruikers biedt de GGA een oplossing die aansluit op operationele processen én duurzaamheidsambities:</w:t>
      </w:r>
    </w:p>
    <w:p w14:paraId="214FFD5A" w14:textId="77777777" w:rsidR="007C06DE" w:rsidRPr="007C06DE" w:rsidRDefault="007C06DE" w:rsidP="00B45EF3">
      <w:pPr>
        <w:pStyle w:val="Lijstalinea"/>
        <w:numPr>
          <w:ilvl w:val="0"/>
          <w:numId w:val="20"/>
        </w:numPr>
      </w:pPr>
      <w:r w:rsidRPr="00B45EF3">
        <w:rPr>
          <w:b/>
          <w:bCs/>
        </w:rPr>
        <w:t xml:space="preserve">Volledige </w:t>
      </w:r>
      <w:proofErr w:type="spellStart"/>
      <w:r w:rsidRPr="00B45EF3">
        <w:rPr>
          <w:b/>
          <w:bCs/>
        </w:rPr>
        <w:t>ontzorging</w:t>
      </w:r>
      <w:proofErr w:type="spellEnd"/>
      <w:r w:rsidRPr="007C06DE">
        <w:t xml:space="preserve"> van inzameling tot verwerking</w:t>
      </w:r>
    </w:p>
    <w:p w14:paraId="14B71D72" w14:textId="77777777" w:rsidR="007C06DE" w:rsidRPr="007C06DE" w:rsidRDefault="007C06DE" w:rsidP="00B45EF3">
      <w:pPr>
        <w:pStyle w:val="Lijstalinea"/>
        <w:numPr>
          <w:ilvl w:val="0"/>
          <w:numId w:val="20"/>
        </w:numPr>
      </w:pPr>
      <w:r w:rsidRPr="00B45EF3">
        <w:rPr>
          <w:b/>
          <w:bCs/>
        </w:rPr>
        <w:t>Circulaire verwerking</w:t>
      </w:r>
      <w:r w:rsidRPr="007C06DE">
        <w:t xml:space="preserve"> van PBM</w:t>
      </w:r>
      <w:r w:rsidRPr="007C06DE">
        <w:noBreakHyphen/>
        <w:t>stromen</w:t>
      </w:r>
    </w:p>
    <w:p w14:paraId="4FF15749" w14:textId="77777777" w:rsidR="007C06DE" w:rsidRPr="007C06DE" w:rsidRDefault="007C06DE" w:rsidP="00B45EF3">
      <w:pPr>
        <w:pStyle w:val="Lijstalinea"/>
        <w:numPr>
          <w:ilvl w:val="0"/>
          <w:numId w:val="20"/>
        </w:numPr>
      </w:pPr>
      <w:r w:rsidRPr="00B45EF3">
        <w:rPr>
          <w:b/>
          <w:bCs/>
        </w:rPr>
        <w:t>Uniforme, veilige inzamelmethode</w:t>
      </w:r>
      <w:r w:rsidRPr="007C06DE">
        <w:t xml:space="preserve"> voor alle vestigingen</w:t>
      </w:r>
    </w:p>
    <w:p w14:paraId="78AE602F" w14:textId="77777777" w:rsidR="007C06DE" w:rsidRPr="007C06DE" w:rsidRDefault="007C06DE" w:rsidP="00B45EF3">
      <w:pPr>
        <w:pStyle w:val="Lijstalinea"/>
        <w:numPr>
          <w:ilvl w:val="0"/>
          <w:numId w:val="20"/>
        </w:numPr>
      </w:pPr>
      <w:r w:rsidRPr="00B45EF3">
        <w:rPr>
          <w:b/>
          <w:bCs/>
        </w:rPr>
        <w:t>Schaalbaar systeem</w:t>
      </w:r>
      <w:r w:rsidRPr="007C06DE">
        <w:t xml:space="preserve"> geschikt voor zowel kleine teams als landelijke organisaties</w:t>
      </w:r>
    </w:p>
    <w:p w14:paraId="54ACF504" w14:textId="0A54B286" w:rsidR="007C06DE" w:rsidRDefault="007C06DE" w:rsidP="00B45EF3">
      <w:pPr>
        <w:pStyle w:val="Lijstalinea"/>
        <w:numPr>
          <w:ilvl w:val="0"/>
          <w:numId w:val="20"/>
        </w:numPr>
      </w:pPr>
      <w:r w:rsidRPr="00B45EF3">
        <w:rPr>
          <w:b/>
          <w:bCs/>
        </w:rPr>
        <w:t>Heldere prijsstructuur per inzamelmiddel of per kg</w:t>
      </w:r>
    </w:p>
    <w:p w14:paraId="469ACE6F" w14:textId="77777777" w:rsidR="00B45EF3" w:rsidRDefault="00B45EF3" w:rsidP="00B45EF3"/>
    <w:p w14:paraId="0EE48633" w14:textId="77777777" w:rsidR="00EE08D3" w:rsidRDefault="00EE08D3" w:rsidP="00B45EF3"/>
    <w:p w14:paraId="5B742829" w14:textId="77777777" w:rsidR="00EE08D3" w:rsidRDefault="00EE08D3" w:rsidP="00B45EF3"/>
    <w:p w14:paraId="2B816055" w14:textId="77777777" w:rsidR="00EE08D3" w:rsidRDefault="00EE08D3" w:rsidP="00B45EF3"/>
    <w:p w14:paraId="0843EF86" w14:textId="77777777" w:rsidR="00EE08D3" w:rsidRDefault="00EE08D3" w:rsidP="00B45EF3"/>
    <w:p w14:paraId="4B9746A1" w14:textId="77777777" w:rsidR="00EE08D3" w:rsidRDefault="00EE08D3" w:rsidP="00B45EF3"/>
    <w:p w14:paraId="3A6B09E8" w14:textId="77777777" w:rsidR="00EE08D3" w:rsidRDefault="00EE08D3" w:rsidP="00B45EF3"/>
    <w:p w14:paraId="289AA143" w14:textId="77777777" w:rsidR="00EE08D3" w:rsidRDefault="00EE08D3" w:rsidP="00B45EF3"/>
    <w:p w14:paraId="7E689713" w14:textId="77777777" w:rsidR="00EE08D3" w:rsidRDefault="00EE08D3" w:rsidP="00B45EF3"/>
    <w:p w14:paraId="688B999C" w14:textId="77777777" w:rsidR="00EE08D3" w:rsidRDefault="00EE08D3" w:rsidP="00B45EF3"/>
    <w:p w14:paraId="2552FC4E" w14:textId="77777777" w:rsidR="00EE08D3" w:rsidRDefault="00EE08D3" w:rsidP="00B45EF3"/>
    <w:p w14:paraId="0A4083BB" w14:textId="62742587" w:rsidR="007C06DE" w:rsidRPr="007C06DE" w:rsidRDefault="007C06DE" w:rsidP="00B45EF3">
      <w:pPr>
        <w:pStyle w:val="Kop2"/>
      </w:pPr>
      <w:r w:rsidRPr="007C06DE">
        <w:t xml:space="preserve">5. Voordelen voor </w:t>
      </w:r>
      <w:r w:rsidR="00780A10">
        <w:t>d</w:t>
      </w:r>
      <w:r w:rsidRPr="007C06DE">
        <w:t>istributeurs</w:t>
      </w:r>
    </w:p>
    <w:p w14:paraId="680A5846" w14:textId="3B5431CE" w:rsidR="007C06DE" w:rsidRPr="007C06DE" w:rsidRDefault="007C06DE" w:rsidP="007C06DE">
      <w:r w:rsidRPr="007C06DE">
        <w:t xml:space="preserve">Voor distributeurs die meedoen </w:t>
      </w:r>
      <w:r w:rsidR="009559A5">
        <w:t xml:space="preserve">met de retourlogistiek van de GGA </w:t>
      </w:r>
      <w:r w:rsidRPr="007C06DE">
        <w:t>vormt de GGA een onderscheidend element door:</w:t>
      </w:r>
    </w:p>
    <w:p w14:paraId="6FE9703C" w14:textId="77777777" w:rsidR="007C06DE" w:rsidRPr="007C06DE" w:rsidRDefault="007C06DE" w:rsidP="00B45EF3">
      <w:pPr>
        <w:pStyle w:val="Lijstalinea"/>
        <w:numPr>
          <w:ilvl w:val="0"/>
          <w:numId w:val="21"/>
        </w:numPr>
      </w:pPr>
      <w:r w:rsidRPr="007C06DE">
        <w:t xml:space="preserve">Een </w:t>
      </w:r>
      <w:r w:rsidRPr="00B45EF3">
        <w:rPr>
          <w:b/>
          <w:bCs/>
        </w:rPr>
        <w:t>bestaand en bewezen circulair retoursysteem</w:t>
      </w:r>
      <w:r w:rsidRPr="007C06DE">
        <w:t xml:space="preserve"> dat direct inzetbaar is</w:t>
      </w:r>
    </w:p>
    <w:p w14:paraId="6983A2D5" w14:textId="77777777" w:rsidR="007C06DE" w:rsidRPr="007C06DE" w:rsidRDefault="007C06DE" w:rsidP="00B45EF3">
      <w:pPr>
        <w:pStyle w:val="Lijstalinea"/>
        <w:numPr>
          <w:ilvl w:val="0"/>
          <w:numId w:val="21"/>
        </w:numPr>
      </w:pPr>
      <w:r w:rsidRPr="007C06DE">
        <w:t>Ondersteuning richting de klant, inclusief presentaties en offerte-elementen</w:t>
      </w:r>
    </w:p>
    <w:p w14:paraId="7A0ABB17" w14:textId="4DEBFA23" w:rsidR="007C06DE" w:rsidRDefault="007C06DE" w:rsidP="00B45EF3">
      <w:pPr>
        <w:pStyle w:val="Lijstalinea"/>
        <w:numPr>
          <w:ilvl w:val="0"/>
          <w:numId w:val="21"/>
        </w:numPr>
      </w:pPr>
      <w:r w:rsidRPr="007C06DE">
        <w:t xml:space="preserve">Samenwerking binnen een </w:t>
      </w:r>
      <w:proofErr w:type="spellStart"/>
      <w:r w:rsidRPr="00B45EF3">
        <w:rPr>
          <w:b/>
          <w:bCs/>
        </w:rPr>
        <w:t>branchebrede</w:t>
      </w:r>
      <w:proofErr w:type="spellEnd"/>
      <w:r w:rsidRPr="00B45EF3">
        <w:rPr>
          <w:b/>
          <w:bCs/>
        </w:rPr>
        <w:t xml:space="preserve"> non-profit structuur</w:t>
      </w:r>
      <w:r w:rsidRPr="007C06DE">
        <w:t>, wat de neutraliteit en betrouwbaarheid versterkt</w:t>
      </w:r>
    </w:p>
    <w:p w14:paraId="20D1C752" w14:textId="068C8B68" w:rsidR="007C06DE" w:rsidRPr="007C06DE" w:rsidRDefault="007C06DE" w:rsidP="00D84CE5"/>
    <w:p w14:paraId="2AD862DE" w14:textId="77777777" w:rsidR="007C06DE" w:rsidRPr="007C06DE" w:rsidRDefault="007C06DE" w:rsidP="00D84CE5">
      <w:pPr>
        <w:pStyle w:val="Kop2"/>
      </w:pPr>
      <w:r w:rsidRPr="007C06DE">
        <w:t>7. Conclusie</w:t>
      </w:r>
    </w:p>
    <w:p w14:paraId="4A559C77" w14:textId="77777777" w:rsidR="007C06DE" w:rsidRPr="007C06DE" w:rsidRDefault="007C06DE" w:rsidP="007C06DE">
      <w:r w:rsidRPr="007C06DE">
        <w:t xml:space="preserve">Met haar circulaire retourlogistiek biedt de Green Gear Alliance een toekomstbestendige, schaalbare en praktisch werkbare oplossing voor het verwerken van gebruikte werkkleding en PBM. Distributeurs kunnen de GGA inzetten als waardevolle partner binnen aanbestedingen, waarbij zij eindgebruikers een combinatie van </w:t>
      </w:r>
      <w:proofErr w:type="spellStart"/>
      <w:r w:rsidRPr="007C06DE">
        <w:t>ontzorging</w:t>
      </w:r>
      <w:proofErr w:type="spellEnd"/>
      <w:r w:rsidRPr="007C06DE">
        <w:t>, circulariteit en transparantie bieden.</w:t>
      </w:r>
    </w:p>
    <w:sectPr w:rsidR="007C06DE" w:rsidRPr="007C06DE" w:rsidSect="00D84CE5">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E0EDC" w14:textId="77777777" w:rsidR="00CA684A" w:rsidRDefault="00CA684A" w:rsidP="003B00BE">
      <w:pPr>
        <w:spacing w:after="0" w:line="240" w:lineRule="auto"/>
      </w:pPr>
      <w:r>
        <w:separator/>
      </w:r>
    </w:p>
  </w:endnote>
  <w:endnote w:type="continuationSeparator" w:id="0">
    <w:p w14:paraId="1967DA72" w14:textId="77777777" w:rsidR="00CA684A" w:rsidRDefault="00CA684A" w:rsidP="003B00BE">
      <w:pPr>
        <w:spacing w:after="0" w:line="240" w:lineRule="auto"/>
      </w:pPr>
      <w:r>
        <w:continuationSeparator/>
      </w:r>
    </w:p>
  </w:endnote>
  <w:endnote w:type="continuationNotice" w:id="1">
    <w:p w14:paraId="284D5A7C" w14:textId="77777777" w:rsidR="00CA684A" w:rsidRDefault="00CA6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ira Sans Black">
    <w:charset w:val="00"/>
    <w:family w:val="swiss"/>
    <w:pitch w:val="variable"/>
    <w:sig w:usb0="600002FF" w:usb1="00000001"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D741" w14:textId="446BD6B5" w:rsidR="003B00BE" w:rsidRPr="00475AE6" w:rsidRDefault="00780A10">
    <w:pPr>
      <w:pStyle w:val="Voettekst"/>
      <w:rPr>
        <w:szCs w:val="20"/>
      </w:rPr>
    </w:pPr>
    <w:r>
      <w:rPr>
        <w:szCs w:val="20"/>
      </w:rPr>
      <w:t>Tendertekst distributeur richting eindgebruiker</w:t>
    </w:r>
    <w:r>
      <w:rPr>
        <w:szCs w:val="20"/>
      </w:rPr>
      <w:tab/>
    </w:r>
    <w:r>
      <w:rPr>
        <w:szCs w:val="20"/>
      </w:rPr>
      <w:tab/>
    </w:r>
    <w:r w:rsidR="00475AE6" w:rsidRPr="00475AE6">
      <w:rPr>
        <w:szCs w:val="20"/>
      </w:rPr>
      <w:fldChar w:fldCharType="begin"/>
    </w:r>
    <w:r w:rsidR="00475AE6" w:rsidRPr="00475AE6">
      <w:rPr>
        <w:szCs w:val="20"/>
      </w:rPr>
      <w:instrText>PAGE   \* MERGEFORMAT</w:instrText>
    </w:r>
    <w:r w:rsidR="00475AE6" w:rsidRPr="00475AE6">
      <w:rPr>
        <w:szCs w:val="20"/>
      </w:rPr>
      <w:fldChar w:fldCharType="separate"/>
    </w:r>
    <w:r w:rsidR="00475AE6" w:rsidRPr="00475AE6">
      <w:rPr>
        <w:szCs w:val="20"/>
      </w:rPr>
      <w:t>1</w:t>
    </w:r>
    <w:r w:rsidR="00475AE6" w:rsidRPr="00475AE6">
      <w:rPr>
        <w:szCs w:val="20"/>
      </w:rPr>
      <w:fldChar w:fldCharType="end"/>
    </w:r>
  </w:p>
  <w:p w14:paraId="6DC4825F" w14:textId="77777777" w:rsidR="003B00BE" w:rsidRDefault="003B00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30AC" w14:textId="77777777" w:rsidR="00CA684A" w:rsidRDefault="00CA684A" w:rsidP="003B00BE">
      <w:pPr>
        <w:spacing w:after="0" w:line="240" w:lineRule="auto"/>
      </w:pPr>
      <w:r>
        <w:separator/>
      </w:r>
    </w:p>
  </w:footnote>
  <w:footnote w:type="continuationSeparator" w:id="0">
    <w:p w14:paraId="54D57FA9" w14:textId="77777777" w:rsidR="00CA684A" w:rsidRDefault="00CA684A" w:rsidP="003B00BE">
      <w:pPr>
        <w:spacing w:after="0" w:line="240" w:lineRule="auto"/>
      </w:pPr>
      <w:r>
        <w:continuationSeparator/>
      </w:r>
    </w:p>
  </w:footnote>
  <w:footnote w:type="continuationNotice" w:id="1">
    <w:p w14:paraId="20CBDF87" w14:textId="77777777" w:rsidR="00CA684A" w:rsidRDefault="00CA68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F6CB" w14:textId="277D3A05" w:rsidR="00475AE6" w:rsidRDefault="00475AE6">
    <w:pPr>
      <w:pStyle w:val="Koptekst"/>
    </w:pPr>
    <w:r>
      <w:rPr>
        <w:noProof/>
      </w:rPr>
      <w:drawing>
        <wp:inline distT="0" distB="0" distL="0" distR="0" wp14:anchorId="4E8D66F4" wp14:editId="576596FC">
          <wp:extent cx="800100" cy="590550"/>
          <wp:effectExtent l="0" t="0" r="0" b="0"/>
          <wp:docPr id="213147958" name="Afbeelding 2" descr="Afbeelding met schermopname, symbool, Graphics,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35009" name="Afbeelding 2" descr="Afbeelding met schermopname, symbool, Graphics, klok&#10;&#10;Automatisch gegenereerde beschrijving"/>
                  <pic:cNvPicPr/>
                </pic:nvPicPr>
                <pic:blipFill rotWithShape="1">
                  <a:blip r:embed="rId1">
                    <a:extLst>
                      <a:ext uri="{28A0092B-C50C-407E-A947-70E740481C1C}">
                        <a14:useLocalDpi xmlns:a14="http://schemas.microsoft.com/office/drawing/2010/main" val="0"/>
                      </a:ext>
                    </a:extLst>
                  </a:blip>
                  <a:srcRect t="19048" b="7143"/>
                  <a:stretch/>
                </pic:blipFill>
                <pic:spPr bwMode="auto">
                  <a:xfrm>
                    <a:off x="0" y="0"/>
                    <a:ext cx="800182" cy="5906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AE3"/>
    <w:multiLevelType w:val="hybridMultilevel"/>
    <w:tmpl w:val="12E09E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56235B"/>
    <w:multiLevelType w:val="hybridMultilevel"/>
    <w:tmpl w:val="1130B37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7B37E2"/>
    <w:multiLevelType w:val="multilevel"/>
    <w:tmpl w:val="35FA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27BC8"/>
    <w:multiLevelType w:val="hybridMultilevel"/>
    <w:tmpl w:val="140ED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9302ED"/>
    <w:multiLevelType w:val="multilevel"/>
    <w:tmpl w:val="F5D8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9255C"/>
    <w:multiLevelType w:val="multilevel"/>
    <w:tmpl w:val="FEF6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73D19"/>
    <w:multiLevelType w:val="hybridMultilevel"/>
    <w:tmpl w:val="500C5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3A2CB7"/>
    <w:multiLevelType w:val="hybridMultilevel"/>
    <w:tmpl w:val="28F475B4"/>
    <w:lvl w:ilvl="0" w:tplc="04130001">
      <w:start w:val="1"/>
      <w:numFmt w:val="bullet"/>
      <w:lvlText w:val=""/>
      <w:lvlJc w:val="left"/>
      <w:pPr>
        <w:ind w:left="855" w:hanging="360"/>
      </w:pPr>
      <w:rPr>
        <w:rFonts w:ascii="Symbol" w:hAnsi="Symbol" w:hint="default"/>
      </w:rPr>
    </w:lvl>
    <w:lvl w:ilvl="1" w:tplc="04130003" w:tentative="1">
      <w:start w:val="1"/>
      <w:numFmt w:val="bullet"/>
      <w:lvlText w:val="o"/>
      <w:lvlJc w:val="left"/>
      <w:pPr>
        <w:ind w:left="1575" w:hanging="360"/>
      </w:pPr>
      <w:rPr>
        <w:rFonts w:ascii="Courier New" w:hAnsi="Courier New" w:cs="Courier New" w:hint="default"/>
      </w:rPr>
    </w:lvl>
    <w:lvl w:ilvl="2" w:tplc="04130005" w:tentative="1">
      <w:start w:val="1"/>
      <w:numFmt w:val="bullet"/>
      <w:lvlText w:val=""/>
      <w:lvlJc w:val="left"/>
      <w:pPr>
        <w:ind w:left="2295" w:hanging="360"/>
      </w:pPr>
      <w:rPr>
        <w:rFonts w:ascii="Wingdings" w:hAnsi="Wingdings" w:hint="default"/>
      </w:rPr>
    </w:lvl>
    <w:lvl w:ilvl="3" w:tplc="04130001" w:tentative="1">
      <w:start w:val="1"/>
      <w:numFmt w:val="bullet"/>
      <w:lvlText w:val=""/>
      <w:lvlJc w:val="left"/>
      <w:pPr>
        <w:ind w:left="3015" w:hanging="360"/>
      </w:pPr>
      <w:rPr>
        <w:rFonts w:ascii="Symbol" w:hAnsi="Symbol" w:hint="default"/>
      </w:rPr>
    </w:lvl>
    <w:lvl w:ilvl="4" w:tplc="04130003" w:tentative="1">
      <w:start w:val="1"/>
      <w:numFmt w:val="bullet"/>
      <w:lvlText w:val="o"/>
      <w:lvlJc w:val="left"/>
      <w:pPr>
        <w:ind w:left="3735" w:hanging="360"/>
      </w:pPr>
      <w:rPr>
        <w:rFonts w:ascii="Courier New" w:hAnsi="Courier New" w:cs="Courier New" w:hint="default"/>
      </w:rPr>
    </w:lvl>
    <w:lvl w:ilvl="5" w:tplc="04130005" w:tentative="1">
      <w:start w:val="1"/>
      <w:numFmt w:val="bullet"/>
      <w:lvlText w:val=""/>
      <w:lvlJc w:val="left"/>
      <w:pPr>
        <w:ind w:left="4455" w:hanging="360"/>
      </w:pPr>
      <w:rPr>
        <w:rFonts w:ascii="Wingdings" w:hAnsi="Wingdings" w:hint="default"/>
      </w:rPr>
    </w:lvl>
    <w:lvl w:ilvl="6" w:tplc="04130001" w:tentative="1">
      <w:start w:val="1"/>
      <w:numFmt w:val="bullet"/>
      <w:lvlText w:val=""/>
      <w:lvlJc w:val="left"/>
      <w:pPr>
        <w:ind w:left="5175" w:hanging="360"/>
      </w:pPr>
      <w:rPr>
        <w:rFonts w:ascii="Symbol" w:hAnsi="Symbol" w:hint="default"/>
      </w:rPr>
    </w:lvl>
    <w:lvl w:ilvl="7" w:tplc="04130003" w:tentative="1">
      <w:start w:val="1"/>
      <w:numFmt w:val="bullet"/>
      <w:lvlText w:val="o"/>
      <w:lvlJc w:val="left"/>
      <w:pPr>
        <w:ind w:left="5895" w:hanging="360"/>
      </w:pPr>
      <w:rPr>
        <w:rFonts w:ascii="Courier New" w:hAnsi="Courier New" w:cs="Courier New" w:hint="default"/>
      </w:rPr>
    </w:lvl>
    <w:lvl w:ilvl="8" w:tplc="04130005" w:tentative="1">
      <w:start w:val="1"/>
      <w:numFmt w:val="bullet"/>
      <w:lvlText w:val=""/>
      <w:lvlJc w:val="left"/>
      <w:pPr>
        <w:ind w:left="6615" w:hanging="360"/>
      </w:pPr>
      <w:rPr>
        <w:rFonts w:ascii="Wingdings" w:hAnsi="Wingdings" w:hint="default"/>
      </w:rPr>
    </w:lvl>
  </w:abstractNum>
  <w:abstractNum w:abstractNumId="8" w15:restartNumberingAfterBreak="0">
    <w:nsid w:val="34097574"/>
    <w:multiLevelType w:val="hybridMultilevel"/>
    <w:tmpl w:val="4D9CCE1A"/>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DF3AB0"/>
    <w:multiLevelType w:val="hybridMultilevel"/>
    <w:tmpl w:val="F3CA0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1E4AAA"/>
    <w:multiLevelType w:val="hybridMultilevel"/>
    <w:tmpl w:val="4EAA2592"/>
    <w:lvl w:ilvl="0" w:tplc="04130001">
      <w:start w:val="1"/>
      <w:numFmt w:val="bullet"/>
      <w:lvlText w:val=""/>
      <w:lvlJc w:val="left"/>
      <w:pPr>
        <w:ind w:left="855" w:hanging="360"/>
      </w:pPr>
      <w:rPr>
        <w:rFonts w:ascii="Symbol" w:hAnsi="Symbol" w:hint="default"/>
      </w:rPr>
    </w:lvl>
    <w:lvl w:ilvl="1" w:tplc="04130003" w:tentative="1">
      <w:start w:val="1"/>
      <w:numFmt w:val="bullet"/>
      <w:lvlText w:val="o"/>
      <w:lvlJc w:val="left"/>
      <w:pPr>
        <w:ind w:left="1575" w:hanging="360"/>
      </w:pPr>
      <w:rPr>
        <w:rFonts w:ascii="Courier New" w:hAnsi="Courier New" w:cs="Courier New" w:hint="default"/>
      </w:rPr>
    </w:lvl>
    <w:lvl w:ilvl="2" w:tplc="04130005" w:tentative="1">
      <w:start w:val="1"/>
      <w:numFmt w:val="bullet"/>
      <w:lvlText w:val=""/>
      <w:lvlJc w:val="left"/>
      <w:pPr>
        <w:ind w:left="2295" w:hanging="360"/>
      </w:pPr>
      <w:rPr>
        <w:rFonts w:ascii="Wingdings" w:hAnsi="Wingdings" w:hint="default"/>
      </w:rPr>
    </w:lvl>
    <w:lvl w:ilvl="3" w:tplc="04130001" w:tentative="1">
      <w:start w:val="1"/>
      <w:numFmt w:val="bullet"/>
      <w:lvlText w:val=""/>
      <w:lvlJc w:val="left"/>
      <w:pPr>
        <w:ind w:left="3015" w:hanging="360"/>
      </w:pPr>
      <w:rPr>
        <w:rFonts w:ascii="Symbol" w:hAnsi="Symbol" w:hint="default"/>
      </w:rPr>
    </w:lvl>
    <w:lvl w:ilvl="4" w:tplc="04130003" w:tentative="1">
      <w:start w:val="1"/>
      <w:numFmt w:val="bullet"/>
      <w:lvlText w:val="o"/>
      <w:lvlJc w:val="left"/>
      <w:pPr>
        <w:ind w:left="3735" w:hanging="360"/>
      </w:pPr>
      <w:rPr>
        <w:rFonts w:ascii="Courier New" w:hAnsi="Courier New" w:cs="Courier New" w:hint="default"/>
      </w:rPr>
    </w:lvl>
    <w:lvl w:ilvl="5" w:tplc="04130005" w:tentative="1">
      <w:start w:val="1"/>
      <w:numFmt w:val="bullet"/>
      <w:lvlText w:val=""/>
      <w:lvlJc w:val="left"/>
      <w:pPr>
        <w:ind w:left="4455" w:hanging="360"/>
      </w:pPr>
      <w:rPr>
        <w:rFonts w:ascii="Wingdings" w:hAnsi="Wingdings" w:hint="default"/>
      </w:rPr>
    </w:lvl>
    <w:lvl w:ilvl="6" w:tplc="04130001" w:tentative="1">
      <w:start w:val="1"/>
      <w:numFmt w:val="bullet"/>
      <w:lvlText w:val=""/>
      <w:lvlJc w:val="left"/>
      <w:pPr>
        <w:ind w:left="5175" w:hanging="360"/>
      </w:pPr>
      <w:rPr>
        <w:rFonts w:ascii="Symbol" w:hAnsi="Symbol" w:hint="default"/>
      </w:rPr>
    </w:lvl>
    <w:lvl w:ilvl="7" w:tplc="04130003" w:tentative="1">
      <w:start w:val="1"/>
      <w:numFmt w:val="bullet"/>
      <w:lvlText w:val="o"/>
      <w:lvlJc w:val="left"/>
      <w:pPr>
        <w:ind w:left="5895" w:hanging="360"/>
      </w:pPr>
      <w:rPr>
        <w:rFonts w:ascii="Courier New" w:hAnsi="Courier New" w:cs="Courier New" w:hint="default"/>
      </w:rPr>
    </w:lvl>
    <w:lvl w:ilvl="8" w:tplc="04130005" w:tentative="1">
      <w:start w:val="1"/>
      <w:numFmt w:val="bullet"/>
      <w:lvlText w:val=""/>
      <w:lvlJc w:val="left"/>
      <w:pPr>
        <w:ind w:left="6615" w:hanging="360"/>
      </w:pPr>
      <w:rPr>
        <w:rFonts w:ascii="Wingdings" w:hAnsi="Wingdings" w:hint="default"/>
      </w:rPr>
    </w:lvl>
  </w:abstractNum>
  <w:abstractNum w:abstractNumId="11" w15:restartNumberingAfterBreak="0">
    <w:nsid w:val="47CB742E"/>
    <w:multiLevelType w:val="hybridMultilevel"/>
    <w:tmpl w:val="9AFADA5A"/>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DC796C"/>
    <w:multiLevelType w:val="hybridMultilevel"/>
    <w:tmpl w:val="30743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D4487F"/>
    <w:multiLevelType w:val="multilevel"/>
    <w:tmpl w:val="DB3A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9052F8"/>
    <w:multiLevelType w:val="hybridMultilevel"/>
    <w:tmpl w:val="7C24DBF6"/>
    <w:lvl w:ilvl="0" w:tplc="04130001">
      <w:start w:val="1"/>
      <w:numFmt w:val="bullet"/>
      <w:lvlText w:val=""/>
      <w:lvlJc w:val="left"/>
      <w:pPr>
        <w:ind w:left="810" w:hanging="360"/>
      </w:pPr>
      <w:rPr>
        <w:rFonts w:ascii="Symbol" w:hAnsi="Symbol" w:hint="default"/>
      </w:rPr>
    </w:lvl>
    <w:lvl w:ilvl="1" w:tplc="04130003" w:tentative="1">
      <w:start w:val="1"/>
      <w:numFmt w:val="bullet"/>
      <w:lvlText w:val="o"/>
      <w:lvlJc w:val="left"/>
      <w:pPr>
        <w:ind w:left="1530" w:hanging="360"/>
      </w:pPr>
      <w:rPr>
        <w:rFonts w:ascii="Courier New" w:hAnsi="Courier New" w:cs="Courier New" w:hint="default"/>
      </w:rPr>
    </w:lvl>
    <w:lvl w:ilvl="2" w:tplc="04130005" w:tentative="1">
      <w:start w:val="1"/>
      <w:numFmt w:val="bullet"/>
      <w:lvlText w:val=""/>
      <w:lvlJc w:val="left"/>
      <w:pPr>
        <w:ind w:left="2250" w:hanging="360"/>
      </w:pPr>
      <w:rPr>
        <w:rFonts w:ascii="Wingdings" w:hAnsi="Wingdings" w:hint="default"/>
      </w:rPr>
    </w:lvl>
    <w:lvl w:ilvl="3" w:tplc="04130001" w:tentative="1">
      <w:start w:val="1"/>
      <w:numFmt w:val="bullet"/>
      <w:lvlText w:val=""/>
      <w:lvlJc w:val="left"/>
      <w:pPr>
        <w:ind w:left="2970" w:hanging="360"/>
      </w:pPr>
      <w:rPr>
        <w:rFonts w:ascii="Symbol" w:hAnsi="Symbol" w:hint="default"/>
      </w:rPr>
    </w:lvl>
    <w:lvl w:ilvl="4" w:tplc="04130003" w:tentative="1">
      <w:start w:val="1"/>
      <w:numFmt w:val="bullet"/>
      <w:lvlText w:val="o"/>
      <w:lvlJc w:val="left"/>
      <w:pPr>
        <w:ind w:left="3690" w:hanging="360"/>
      </w:pPr>
      <w:rPr>
        <w:rFonts w:ascii="Courier New" w:hAnsi="Courier New" w:cs="Courier New" w:hint="default"/>
      </w:rPr>
    </w:lvl>
    <w:lvl w:ilvl="5" w:tplc="04130005" w:tentative="1">
      <w:start w:val="1"/>
      <w:numFmt w:val="bullet"/>
      <w:lvlText w:val=""/>
      <w:lvlJc w:val="left"/>
      <w:pPr>
        <w:ind w:left="4410" w:hanging="360"/>
      </w:pPr>
      <w:rPr>
        <w:rFonts w:ascii="Wingdings" w:hAnsi="Wingdings" w:hint="default"/>
      </w:rPr>
    </w:lvl>
    <w:lvl w:ilvl="6" w:tplc="04130001" w:tentative="1">
      <w:start w:val="1"/>
      <w:numFmt w:val="bullet"/>
      <w:lvlText w:val=""/>
      <w:lvlJc w:val="left"/>
      <w:pPr>
        <w:ind w:left="5130" w:hanging="360"/>
      </w:pPr>
      <w:rPr>
        <w:rFonts w:ascii="Symbol" w:hAnsi="Symbol" w:hint="default"/>
      </w:rPr>
    </w:lvl>
    <w:lvl w:ilvl="7" w:tplc="04130003" w:tentative="1">
      <w:start w:val="1"/>
      <w:numFmt w:val="bullet"/>
      <w:lvlText w:val="o"/>
      <w:lvlJc w:val="left"/>
      <w:pPr>
        <w:ind w:left="5850" w:hanging="360"/>
      </w:pPr>
      <w:rPr>
        <w:rFonts w:ascii="Courier New" w:hAnsi="Courier New" w:cs="Courier New" w:hint="default"/>
      </w:rPr>
    </w:lvl>
    <w:lvl w:ilvl="8" w:tplc="04130005" w:tentative="1">
      <w:start w:val="1"/>
      <w:numFmt w:val="bullet"/>
      <w:lvlText w:val=""/>
      <w:lvlJc w:val="left"/>
      <w:pPr>
        <w:ind w:left="6570" w:hanging="360"/>
      </w:pPr>
      <w:rPr>
        <w:rFonts w:ascii="Wingdings" w:hAnsi="Wingdings" w:hint="default"/>
      </w:rPr>
    </w:lvl>
  </w:abstractNum>
  <w:abstractNum w:abstractNumId="15" w15:restartNumberingAfterBreak="0">
    <w:nsid w:val="58BC5EBB"/>
    <w:multiLevelType w:val="hybridMultilevel"/>
    <w:tmpl w:val="6A26AB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992B27"/>
    <w:multiLevelType w:val="multilevel"/>
    <w:tmpl w:val="5D10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2E0439"/>
    <w:multiLevelType w:val="hybridMultilevel"/>
    <w:tmpl w:val="7004BF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D120BEE"/>
    <w:multiLevelType w:val="hybridMultilevel"/>
    <w:tmpl w:val="7F6A7A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EA17571"/>
    <w:multiLevelType w:val="hybridMultilevel"/>
    <w:tmpl w:val="787004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1022E59"/>
    <w:multiLevelType w:val="hybridMultilevel"/>
    <w:tmpl w:val="A986F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7D738D0"/>
    <w:multiLevelType w:val="multilevel"/>
    <w:tmpl w:val="8610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212998">
    <w:abstractNumId w:val="12"/>
  </w:num>
  <w:num w:numId="2" w16cid:durableId="1640841986">
    <w:abstractNumId w:val="17"/>
  </w:num>
  <w:num w:numId="3" w16cid:durableId="623082507">
    <w:abstractNumId w:val="0"/>
  </w:num>
  <w:num w:numId="4" w16cid:durableId="448360261">
    <w:abstractNumId w:val="19"/>
  </w:num>
  <w:num w:numId="5" w16cid:durableId="634406845">
    <w:abstractNumId w:val="18"/>
  </w:num>
  <w:num w:numId="6" w16cid:durableId="1296834660">
    <w:abstractNumId w:val="10"/>
  </w:num>
  <w:num w:numId="7" w16cid:durableId="825317996">
    <w:abstractNumId w:val="7"/>
  </w:num>
  <w:num w:numId="8" w16cid:durableId="1154487649">
    <w:abstractNumId w:val="20"/>
  </w:num>
  <w:num w:numId="9" w16cid:durableId="1688094698">
    <w:abstractNumId w:val="15"/>
  </w:num>
  <w:num w:numId="10" w16cid:durableId="1090807086">
    <w:abstractNumId w:val="14"/>
  </w:num>
  <w:num w:numId="11" w16cid:durableId="136998488">
    <w:abstractNumId w:val="1"/>
  </w:num>
  <w:num w:numId="12" w16cid:durableId="847448396">
    <w:abstractNumId w:val="11"/>
  </w:num>
  <w:num w:numId="13" w16cid:durableId="325978029">
    <w:abstractNumId w:val="8"/>
  </w:num>
  <w:num w:numId="14" w16cid:durableId="2134787039">
    <w:abstractNumId w:val="5"/>
  </w:num>
  <w:num w:numId="15" w16cid:durableId="1830752252">
    <w:abstractNumId w:val="4"/>
  </w:num>
  <w:num w:numId="16" w16cid:durableId="124281778">
    <w:abstractNumId w:val="21"/>
  </w:num>
  <w:num w:numId="17" w16cid:durableId="1492016137">
    <w:abstractNumId w:val="13"/>
  </w:num>
  <w:num w:numId="18" w16cid:durableId="806436830">
    <w:abstractNumId w:val="2"/>
  </w:num>
  <w:num w:numId="19" w16cid:durableId="635642543">
    <w:abstractNumId w:val="16"/>
  </w:num>
  <w:num w:numId="20" w16cid:durableId="2001350099">
    <w:abstractNumId w:val="6"/>
  </w:num>
  <w:num w:numId="21" w16cid:durableId="951783080">
    <w:abstractNumId w:val="3"/>
  </w:num>
  <w:num w:numId="22" w16cid:durableId="3789364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D8"/>
    <w:rsid w:val="00041A8D"/>
    <w:rsid w:val="00045ACC"/>
    <w:rsid w:val="000A547F"/>
    <w:rsid w:val="000A7884"/>
    <w:rsid w:val="00107F00"/>
    <w:rsid w:val="001315F4"/>
    <w:rsid w:val="001C291F"/>
    <w:rsid w:val="001D61D8"/>
    <w:rsid w:val="001E72D6"/>
    <w:rsid w:val="001F48E2"/>
    <w:rsid w:val="001F5760"/>
    <w:rsid w:val="00205B7E"/>
    <w:rsid w:val="00260622"/>
    <w:rsid w:val="0028205B"/>
    <w:rsid w:val="00326D81"/>
    <w:rsid w:val="003B00BE"/>
    <w:rsid w:val="003F456B"/>
    <w:rsid w:val="0040369A"/>
    <w:rsid w:val="0042021F"/>
    <w:rsid w:val="004445FD"/>
    <w:rsid w:val="0045182D"/>
    <w:rsid w:val="00475AE6"/>
    <w:rsid w:val="004B0F39"/>
    <w:rsid w:val="004B4CFB"/>
    <w:rsid w:val="00512144"/>
    <w:rsid w:val="005623A9"/>
    <w:rsid w:val="00627C91"/>
    <w:rsid w:val="006869C8"/>
    <w:rsid w:val="006C6CEB"/>
    <w:rsid w:val="00754716"/>
    <w:rsid w:val="00774FD6"/>
    <w:rsid w:val="00780A10"/>
    <w:rsid w:val="007A3F4B"/>
    <w:rsid w:val="007A4AF5"/>
    <w:rsid w:val="007A7827"/>
    <w:rsid w:val="007C06DE"/>
    <w:rsid w:val="00804500"/>
    <w:rsid w:val="008C0575"/>
    <w:rsid w:val="00903C1D"/>
    <w:rsid w:val="00936B26"/>
    <w:rsid w:val="009559A5"/>
    <w:rsid w:val="009A6CC7"/>
    <w:rsid w:val="00A2644A"/>
    <w:rsid w:val="00A617D2"/>
    <w:rsid w:val="00AA1148"/>
    <w:rsid w:val="00AB63F1"/>
    <w:rsid w:val="00AD2828"/>
    <w:rsid w:val="00AE0484"/>
    <w:rsid w:val="00B14913"/>
    <w:rsid w:val="00B22ED7"/>
    <w:rsid w:val="00B45EF3"/>
    <w:rsid w:val="00B96F67"/>
    <w:rsid w:val="00C06C6C"/>
    <w:rsid w:val="00C55AE5"/>
    <w:rsid w:val="00C91362"/>
    <w:rsid w:val="00CA684A"/>
    <w:rsid w:val="00CB5804"/>
    <w:rsid w:val="00CC0162"/>
    <w:rsid w:val="00CE23FB"/>
    <w:rsid w:val="00D05339"/>
    <w:rsid w:val="00D84CE5"/>
    <w:rsid w:val="00D90705"/>
    <w:rsid w:val="00D95112"/>
    <w:rsid w:val="00E30B9B"/>
    <w:rsid w:val="00E53A02"/>
    <w:rsid w:val="00E53B09"/>
    <w:rsid w:val="00E57C72"/>
    <w:rsid w:val="00E80114"/>
    <w:rsid w:val="00ED2BA0"/>
    <w:rsid w:val="00EE08D3"/>
    <w:rsid w:val="00EE70A4"/>
    <w:rsid w:val="00F23503"/>
    <w:rsid w:val="00F440CE"/>
    <w:rsid w:val="00F721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449C3"/>
  <w15:chartTrackingRefBased/>
  <w15:docId w15:val="{BC623B13-CE24-4FD0-9F86-C560748F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4CE5"/>
    <w:rPr>
      <w:sz w:val="20"/>
    </w:rPr>
  </w:style>
  <w:style w:type="paragraph" w:styleId="Kop1">
    <w:name w:val="heading 1"/>
    <w:basedOn w:val="Standaard"/>
    <w:next w:val="Standaard"/>
    <w:link w:val="Kop1Char"/>
    <w:uiPriority w:val="9"/>
    <w:qFormat/>
    <w:rsid w:val="001F5760"/>
    <w:pPr>
      <w:keepNext/>
      <w:keepLines/>
      <w:spacing w:before="360" w:after="80"/>
      <w:outlineLvl w:val="0"/>
    </w:pPr>
    <w:rPr>
      <w:rFonts w:ascii="Fira Sans Black" w:eastAsiaTheme="majorEastAsia" w:hAnsi="Fira Sans Black" w:cstheme="majorBidi"/>
      <w:color w:val="000000" w:themeColor="text1"/>
      <w:sz w:val="40"/>
      <w:szCs w:val="40"/>
    </w:rPr>
  </w:style>
  <w:style w:type="paragraph" w:styleId="Kop2">
    <w:name w:val="heading 2"/>
    <w:basedOn w:val="Standaard"/>
    <w:next w:val="Standaard"/>
    <w:link w:val="Kop2Char"/>
    <w:uiPriority w:val="9"/>
    <w:unhideWhenUsed/>
    <w:qFormat/>
    <w:rsid w:val="009559A5"/>
    <w:pPr>
      <w:keepNext/>
      <w:keepLines/>
      <w:spacing w:before="160" w:after="80"/>
      <w:outlineLvl w:val="1"/>
    </w:pPr>
    <w:rPr>
      <w:rFonts w:ascii="Fira Sans Black" w:eastAsiaTheme="majorEastAsia" w:hAnsi="Fira Sans Black" w:cstheme="majorBidi"/>
      <w:color w:val="00B3DC"/>
      <w:sz w:val="24"/>
      <w:szCs w:val="32"/>
    </w:rPr>
  </w:style>
  <w:style w:type="paragraph" w:styleId="Kop3">
    <w:name w:val="heading 3"/>
    <w:basedOn w:val="Standaard"/>
    <w:next w:val="Standaard"/>
    <w:link w:val="Kop3Char"/>
    <w:uiPriority w:val="9"/>
    <w:semiHidden/>
    <w:unhideWhenUsed/>
    <w:qFormat/>
    <w:rsid w:val="006869C8"/>
    <w:pPr>
      <w:keepNext/>
      <w:keepLines/>
      <w:spacing w:before="160" w:after="80"/>
      <w:outlineLvl w:val="2"/>
    </w:pPr>
    <w:rPr>
      <w:rFonts w:ascii="Fira Sans Black" w:eastAsiaTheme="majorEastAsia" w:hAnsi="Fira Sans Black" w:cstheme="majorBidi"/>
      <w:sz w:val="28"/>
      <w:szCs w:val="28"/>
    </w:rPr>
  </w:style>
  <w:style w:type="paragraph" w:styleId="Kop4">
    <w:name w:val="heading 4"/>
    <w:basedOn w:val="Standaard"/>
    <w:next w:val="Standaard"/>
    <w:link w:val="Kop4Char"/>
    <w:uiPriority w:val="9"/>
    <w:semiHidden/>
    <w:unhideWhenUsed/>
    <w:qFormat/>
    <w:rsid w:val="001D61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61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61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61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61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61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5760"/>
    <w:rPr>
      <w:rFonts w:ascii="Fira Sans Black" w:eastAsiaTheme="majorEastAsia" w:hAnsi="Fira Sans Black" w:cstheme="majorBidi"/>
      <w:color w:val="000000" w:themeColor="text1"/>
      <w:sz w:val="40"/>
      <w:szCs w:val="40"/>
    </w:rPr>
  </w:style>
  <w:style w:type="character" w:customStyle="1" w:styleId="Kop2Char">
    <w:name w:val="Kop 2 Char"/>
    <w:basedOn w:val="Standaardalinea-lettertype"/>
    <w:link w:val="Kop2"/>
    <w:uiPriority w:val="9"/>
    <w:rsid w:val="009559A5"/>
    <w:rPr>
      <w:rFonts w:ascii="Fira Sans Black" w:eastAsiaTheme="majorEastAsia" w:hAnsi="Fira Sans Black" w:cstheme="majorBidi"/>
      <w:color w:val="00B3DC"/>
      <w:szCs w:val="32"/>
    </w:rPr>
  </w:style>
  <w:style w:type="character" w:customStyle="1" w:styleId="Kop3Char">
    <w:name w:val="Kop 3 Char"/>
    <w:basedOn w:val="Standaardalinea-lettertype"/>
    <w:link w:val="Kop3"/>
    <w:uiPriority w:val="9"/>
    <w:semiHidden/>
    <w:rsid w:val="006869C8"/>
    <w:rPr>
      <w:rFonts w:ascii="Fira Sans Black" w:eastAsiaTheme="majorEastAsia" w:hAnsi="Fira Sans Black" w:cstheme="majorBidi"/>
      <w:sz w:val="28"/>
      <w:szCs w:val="28"/>
    </w:rPr>
  </w:style>
  <w:style w:type="character" w:customStyle="1" w:styleId="Kop4Char">
    <w:name w:val="Kop 4 Char"/>
    <w:basedOn w:val="Standaardalinea-lettertype"/>
    <w:link w:val="Kop4"/>
    <w:uiPriority w:val="9"/>
    <w:semiHidden/>
    <w:rsid w:val="001D61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61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61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61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61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61D8"/>
    <w:rPr>
      <w:rFonts w:eastAsiaTheme="majorEastAsia" w:cstheme="majorBidi"/>
      <w:color w:val="272727" w:themeColor="text1" w:themeTint="D8"/>
    </w:rPr>
  </w:style>
  <w:style w:type="paragraph" w:styleId="Titel">
    <w:name w:val="Title"/>
    <w:basedOn w:val="Standaard"/>
    <w:next w:val="Standaard"/>
    <w:link w:val="TitelChar"/>
    <w:uiPriority w:val="10"/>
    <w:qFormat/>
    <w:rsid w:val="001D6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61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61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61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61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61D8"/>
    <w:rPr>
      <w:i/>
      <w:iCs/>
      <w:color w:val="404040" w:themeColor="text1" w:themeTint="BF"/>
    </w:rPr>
  </w:style>
  <w:style w:type="paragraph" w:styleId="Lijstalinea">
    <w:name w:val="List Paragraph"/>
    <w:basedOn w:val="Standaard"/>
    <w:uiPriority w:val="34"/>
    <w:qFormat/>
    <w:rsid w:val="001D61D8"/>
    <w:pPr>
      <w:ind w:left="720"/>
      <w:contextualSpacing/>
    </w:pPr>
  </w:style>
  <w:style w:type="character" w:styleId="Intensievebenadrukking">
    <w:name w:val="Intense Emphasis"/>
    <w:basedOn w:val="Standaardalinea-lettertype"/>
    <w:uiPriority w:val="21"/>
    <w:qFormat/>
    <w:rsid w:val="001D61D8"/>
    <w:rPr>
      <w:i/>
      <w:iCs/>
      <w:color w:val="0F4761" w:themeColor="accent1" w:themeShade="BF"/>
    </w:rPr>
  </w:style>
  <w:style w:type="paragraph" w:styleId="Duidelijkcitaat">
    <w:name w:val="Intense Quote"/>
    <w:basedOn w:val="Standaard"/>
    <w:next w:val="Standaard"/>
    <w:link w:val="DuidelijkcitaatChar"/>
    <w:uiPriority w:val="30"/>
    <w:qFormat/>
    <w:rsid w:val="001D6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61D8"/>
    <w:rPr>
      <w:i/>
      <w:iCs/>
      <w:color w:val="0F4761" w:themeColor="accent1" w:themeShade="BF"/>
    </w:rPr>
  </w:style>
  <w:style w:type="character" w:styleId="Intensieveverwijzing">
    <w:name w:val="Intense Reference"/>
    <w:basedOn w:val="Standaardalinea-lettertype"/>
    <w:uiPriority w:val="32"/>
    <w:qFormat/>
    <w:rsid w:val="001D61D8"/>
    <w:rPr>
      <w:b/>
      <w:bCs/>
      <w:smallCaps/>
      <w:color w:val="0F4761" w:themeColor="accent1" w:themeShade="BF"/>
      <w:spacing w:val="5"/>
    </w:rPr>
  </w:style>
  <w:style w:type="paragraph" w:styleId="Koptekst">
    <w:name w:val="header"/>
    <w:basedOn w:val="Standaard"/>
    <w:link w:val="KoptekstChar"/>
    <w:uiPriority w:val="99"/>
    <w:unhideWhenUsed/>
    <w:rsid w:val="003B00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00BE"/>
  </w:style>
  <w:style w:type="paragraph" w:styleId="Voettekst">
    <w:name w:val="footer"/>
    <w:basedOn w:val="Standaard"/>
    <w:link w:val="VoettekstChar"/>
    <w:uiPriority w:val="99"/>
    <w:unhideWhenUsed/>
    <w:rsid w:val="003B00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00BE"/>
  </w:style>
  <w:style w:type="table" w:styleId="Tabelraster">
    <w:name w:val="Table Grid"/>
    <w:basedOn w:val="Standaardtabel"/>
    <w:uiPriority w:val="39"/>
    <w:rsid w:val="00A61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7C06DE"/>
    <w:rPr>
      <w:rFonts w:ascii="Times New Roman" w:hAnsi="Times New Roman" w:cs="Times New Roman"/>
    </w:rPr>
  </w:style>
  <w:style w:type="character" w:styleId="Hyperlink">
    <w:name w:val="Hyperlink"/>
    <w:basedOn w:val="Standaardalinea-lettertype"/>
    <w:uiPriority w:val="99"/>
    <w:unhideWhenUsed/>
    <w:rsid w:val="007C06DE"/>
    <w:rPr>
      <w:color w:val="467886" w:themeColor="hyperlink"/>
      <w:u w:val="single"/>
    </w:rPr>
  </w:style>
  <w:style w:type="character" w:styleId="Onopgelostemelding">
    <w:name w:val="Unresolved Mention"/>
    <w:basedOn w:val="Standaardalinea-lettertype"/>
    <w:uiPriority w:val="99"/>
    <w:semiHidden/>
    <w:unhideWhenUsed/>
    <w:rsid w:val="007C0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68ea51-8eb3-4844-82a3-50fe5577939d">
      <Terms xmlns="http://schemas.microsoft.com/office/infopath/2007/PartnerControls"/>
    </lcf76f155ced4ddcb4097134ff3c332f>
    <TaxCatchAll xmlns="f0b3b66e-59ea-4287-948a-280134611a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C2132E0982B1459C042B74F643668D" ma:contentTypeVersion="15" ma:contentTypeDescription="Create a new document." ma:contentTypeScope="" ma:versionID="db7cdc8f0d81dda8e3622e4369b33122">
  <xsd:schema xmlns:xsd="http://www.w3.org/2001/XMLSchema" xmlns:xs="http://www.w3.org/2001/XMLSchema" xmlns:p="http://schemas.microsoft.com/office/2006/metadata/properties" xmlns:ns2="4168ea51-8eb3-4844-82a3-50fe5577939d" xmlns:ns3="f0b3b66e-59ea-4287-948a-280134611aa5" targetNamespace="http://schemas.microsoft.com/office/2006/metadata/properties" ma:root="true" ma:fieldsID="e1d0986d85fb288c8ac5ac7455a75728" ns2:_="" ns3:_="">
    <xsd:import namespace="4168ea51-8eb3-4844-82a3-50fe5577939d"/>
    <xsd:import namespace="f0b3b66e-59ea-4287-948a-280134611aa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8ea51-8eb3-4844-82a3-50fe5577939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a8a17d9-aa25-4207-9264-9e4e4171a5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3b66e-59ea-4287-948a-280134611aa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aaec3f-f7f9-4ae2-96d4-27f27f262b5b}" ma:internalName="TaxCatchAll" ma:showField="CatchAllData" ma:web="f0b3b66e-59ea-4287-948a-280134611a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AFF81E-18D4-451D-B54F-82114FE97A27}">
  <ds:schemaRefs>
    <ds:schemaRef ds:uri="http://schemas.microsoft.com/sharepoint/v3/contenttype/forms"/>
  </ds:schemaRefs>
</ds:datastoreItem>
</file>

<file path=customXml/itemProps2.xml><?xml version="1.0" encoding="utf-8"?>
<ds:datastoreItem xmlns:ds="http://schemas.openxmlformats.org/officeDocument/2006/customXml" ds:itemID="{9C39A6DE-2CCB-4EC0-AAF5-09AF15A85417}">
  <ds:schemaRefs>
    <ds:schemaRef ds:uri="http://schemas.microsoft.com/office/2006/metadata/properties"/>
    <ds:schemaRef ds:uri="http://schemas.microsoft.com/office/infopath/2007/PartnerControls"/>
    <ds:schemaRef ds:uri="4168ea51-8eb3-4844-82a3-50fe5577939d"/>
    <ds:schemaRef ds:uri="f0b3b66e-59ea-4287-948a-280134611aa5"/>
  </ds:schemaRefs>
</ds:datastoreItem>
</file>

<file path=customXml/itemProps3.xml><?xml version="1.0" encoding="utf-8"?>
<ds:datastoreItem xmlns:ds="http://schemas.openxmlformats.org/officeDocument/2006/customXml" ds:itemID="{A324D85A-ABDB-4315-9835-A931C595F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8ea51-8eb3-4844-82a3-50fe5577939d"/>
    <ds:schemaRef ds:uri="f0b3b66e-59ea-4287-948a-280134611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602</Words>
  <Characters>3614</Characters>
  <Application>Microsoft Office Word</Application>
  <DocSecurity>0</DocSecurity>
  <Lines>150</Lines>
  <Paragraphs>168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Jacobs</dc:creator>
  <cp:keywords/>
  <dc:description/>
  <cp:lastModifiedBy>Anne Jacobs</cp:lastModifiedBy>
  <cp:revision>16</cp:revision>
  <cp:lastPrinted>2025-01-06T13:05:00Z</cp:lastPrinted>
  <dcterms:created xsi:type="dcterms:W3CDTF">2026-02-04T08:16:00Z</dcterms:created>
  <dcterms:modified xsi:type="dcterms:W3CDTF">2026-02-04T08:32:00Z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0x0101004FC2132E0982B1459C042B74F643668D</vt:lpwstr>
  </property>
  <property fmtid="{D5CDD505-2E9C-101B-9397-08002B2CF9AE}" pid="3" name="MediaServiceImageTags">
    <vt:lpwstr/>
  </property>
</Properties>
</file>